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outlineLvl w:val="0"/>
      </w:pPr>
      <w:r>
        <w:t>Make the referral easy to trace</w:t>
      </w:r>
    </w:p>
    <w:p>
      <w:pPr>
        <w:pStyle w:val="Subtitle"/>
      </w:pPr>
      <w:r>
        <w:t>For manually approved U.S. partners</w:t>
      </w:r>
    </w:p>
    <w:p>
      <w:pPr>
        <w:pStyle w:val="Heading2"/>
      </w:pPr>
      <w:r>
        <w:t>Use the assigned code</w:t>
      </w:r>
    </w:p>
    <w:p>
      <w:pPr/>
      <w:r>
        <w:t>Give the customer your assigned code and ask them to enter it during signup. Code submission is reviewed before referral credit or an eligible discount is applied. Do not invent a code or assume that visiting a link records a referral.</w:t>
      </w:r>
    </w:p>
    <w:p>
      <w:pPr>
        <w:pStyle w:val="Heading2"/>
      </w:pPr>
      <w:r>
        <w:t>Make a warm introduction before signup</w:t>
      </w:r>
    </w:p>
    <w:p>
      <w:pPr/>
      <w:r>
        <w:t xml:space="preserve">With the client's permission, introduce them to </w:t>
      </w:r>
      <w:hyperlink r:id="rId11">
        <w:r>
          <w:rPr>
            <w:color w:val="14543E"/>
            <w:u w:val="single"/>
          </w:rPr>
          <w:t>hello@handledcalls.com</w:t>
        </w:r>
      </w:hyperlink>
      <w:r>
        <w:t xml:space="preserve"> before they sign up. Include your name, business and assigned code. Manual referral submissions expire after 60 days; the customer must start a trial or subscription within that window.</w:t>
      </w:r>
    </w:p>
    <w:p>
      <w:pPr>
        <w:pStyle w:val="Heading2"/>
      </w:pPr>
      <w:r>
        <w:t>If credit appears to be missing</w:t>
      </w:r>
    </w:p>
    <w:p>
      <w:pPr/>
      <w:r>
        <w:t xml:space="preserve">Email </w:t>
      </w:r>
      <w:hyperlink r:id="rId11">
        <w:r>
          <w:rPr>
            <w:color w:val="14543E"/>
            <w:u w:val="single"/>
          </w:rPr>
          <w:t>hello@handledcalls.com</w:t>
        </w:r>
      </w:hyperlink>
      <w:r>
        <w:t xml:space="preserve"> with your code, the referred business, the introduction date and a copy of the original introduction. The team reviews missing-code and conflicting claims. A request made after signup does not guarantee retroactive credit.</w:t>
      </w:r>
    </w:p>
    <w:p>
      <w:pPr>
        <w:pStyle w:val="Heading2"/>
      </w:pPr>
      <w:r>
        <w:t>What makes a referral eligible</w:t>
      </w:r>
    </w:p>
    <w:p>
      <w:pPr/>
      <w:r>
        <w:t>It must be a new customer, not an existing customer or active sales prospect, with a valid code or approved manual referral. Self-referrals, duplicate claims and related accounts created for rewards are excluded. The customer must complete 30 consecutive paid, active days and successfully make the second base-subscription payment.</w:t>
      </w:r>
    </w:p>
    <w:p>
      <w:pPr>
        <w:pStyle w:val="Heading2"/>
      </w:pPr>
      <w:r>
        <w:t>The customer offer</w:t>
      </w:r>
    </w:p>
    <w:p>
      <w:pPr/>
      <w:r>
        <w:t>An eligible customer may receive 20% off only the first paid base-subscription cycle after the partner code is reviewed. Additional users, call usage, taxes and other charges are excluded.</w:t>
      </w:r>
    </w:p>
    <w:p>
      <w:pPr/>
      <w:r>
        <w:t xml:space="preserve">This is a practical summary. The full Partner Terms control: </w:t>
      </w:r>
      <w:hyperlink r:id="rId12">
        <w:r>
          <w:rPr>
            <w:color w:val="14543E"/>
            <w:u w:val="single"/>
          </w:rPr>
          <w:t>handledcalls.com/partner-program-terms/</w:t>
        </w:r>
      </w:hyperlink>
      <w:r/>
    </w:p>
    <w:p>
      <w:r>
        <w:br w:type="page"/>
      </w:r>
    </w:p>
    <w:p>
      <w:pPr>
        <w:pStyle w:val="Title"/>
        <w:outlineLvl w:val="0"/>
      </w:pPr>
      <w:r>
        <w:t>Understand the earnings</w:t>
      </w:r>
    </w:p>
    <w:p>
      <w:pPr>
        <w:pStyle w:val="Subtitle"/>
      </w:pPr>
      <w:r>
        <w:t>Illustrative amounts are not a promise of income</w:t>
      </w:r>
    </w:p>
    <w:p>
      <w:pPr/>
      <w:r>
        <w:t>Approved partners earn 50% of eligible net subscription revenue from the base plan and additional users for each qualified customer's first four paid 28-day cycles.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c>
          <w:tcPr>
            <w:tcW w:type="dxa" w:w="39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2EBF2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/>
                <w:sz w:val="20"/>
              </w:rPr>
              <w:t>Paid cycle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2EBF2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/>
                <w:sz w:val="20"/>
              </w:rPr>
              <w:t>Eligible base revenue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2EBF2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/>
                <w:sz w:val="20"/>
              </w:rPr>
              <w:t>50% commission</w:t>
            </w:r>
          </w:p>
        </w:tc>
      </w:tr>
      <w:tr>
        <w:tc>
          <w:tcPr>
            <w:tcW w:type="dxa" w:w="39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1, with 20% discount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$71.20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$35.60</w:t>
            </w:r>
          </w:p>
        </w:tc>
      </w:tr>
      <w:tr>
        <w:tc>
          <w:tcPr>
            <w:tcW w:type="dxa" w:w="39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5F0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5F0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$89.00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5F0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$44.50</w:t>
            </w:r>
          </w:p>
        </w:tc>
      </w:tr>
      <w:tr>
        <w:tc>
          <w:tcPr>
            <w:tcW w:type="dxa" w:w="39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$89.00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$44.50</w:t>
            </w:r>
          </w:p>
        </w:tc>
      </w:tr>
      <w:tr>
        <w:tc>
          <w:tcPr>
            <w:tcW w:type="dxa" w:w="39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5F0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4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5F0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$89.00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7F5F0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$44.50</w:t>
            </w:r>
          </w:p>
        </w:tc>
      </w:tr>
      <w:tr>
        <w:tc>
          <w:tcPr>
            <w:tcW w:type="dxa" w:w="39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Total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$338.20</w:t>
            </w:r>
          </w:p>
        </w:tc>
        <w:tc>
          <w:tcPr>
            <w:tcW w:type="dxa" w:w="319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  <w:tcMar>
              <w:top w:w="110" w:type="dxa"/>
              <w:left w:w="110" w:type="dxa"/>
              <w:bottom w:w="110" w:type="dxa"/>
              <w:right w:w="110" w:type="dxa"/>
            </w:tcMar>
          </w:tcPr>
          <w:p>
            <w:pPr>
              <w:spacing w:after="40"/>
            </w:pPr>
            <w:r>
              <w:rPr>
                <w:b w:val="0"/>
                <w:sz w:val="20"/>
              </w:rPr>
              <w:t>$169.10</w:t>
            </w:r>
          </w:p>
        </w:tc>
      </w:tr>
    </w:tbl>
    <w:p/>
    <w:p>
      <w:pPr/>
      <w:r>
        <w:t>Example assumes one $89 base plan, the eligible 20% first-cycle base discount, all four paid 28-day cycles retained and eligible, no added users, and no refunds, credits or reversals. Usage and other excluded charges earn no commission. Three customers with these same assumptions total $507.30.</w:t>
      </w:r>
    </w:p>
    <w:p>
      <w:pPr>
        <w:pStyle w:val="Heading2"/>
      </w:pPr>
      <w:r>
        <w:t>When earnings become payable</w:t>
      </w:r>
    </w:p>
    <w:p>
      <w:pPr/>
      <w:r>
        <w:t>Each paid invoice has its own 30-day clearing period. The referral must also qualify, and the account and payment must remain eligible. Canceled, scheduled-to-cancel, unpaid, past-due, refunded, credited or disputed accounts do not have payable commissions while ineligible.</w:t>
      </w:r>
    </w:p>
    <w:p>
      <w:pPr/>
      <w:r>
        <w:t>Commissions are reviewed monthly. Eligible ACH payouts are ordinarily initiated by the 15th for balances cleared through the prior month-end. The $50 minimum applies; smaller balances roll forward. Required tax and payout information must be on file.</w:t>
      </w:r>
    </w:p>
    <w:p>
      <w:pPr/>
      <w:r>
        <w:t>Partial refunds and credits reduce commission proportionally. Adjustments do not extend the four-cycle window. Adjustments after payout offset future commissions rather than automatically debiting a partner's bank account.</w:t>
      </w:r>
    </w:p>
    <w:p>
      <w:pPr/>
      <w:r>
        <w:t xml:space="preserve">Terms and exceptions: </w:t>
      </w:r>
      <w:hyperlink r:id="rId12">
        <w:r>
          <w:rPr>
            <w:color w:val="14543E"/>
            <w:u w:val="single"/>
          </w:rPr>
          <w:t>handledcalls.com/partner-program-terms/</w:t>
        </w:r>
      </w:hyperlink>
      <w:r/>
    </w:p>
    <w:sectPr w:rsidR="00FC693F" w:rsidRPr="0006063C" w:rsidSect="00034616">
      <w:headerReference w:type="default" r:id="rId9"/>
      <w:footerReference w:type="default" r:id="rId10"/>
      <w:pgSz w:w="12240" w:h="15840"/>
      <w:pgMar w:top="1267" w:right="965" w:bottom="1008" w:left="965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Handled Calls  |  hello@handledcalls.com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1691640" cy="42291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handled-calls-d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1640" cy="42291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40"/>
    </w:pPr>
    <w:rPr>
      <w:rFonts w:ascii="Arial" w:hAnsi="Arial"/>
      <w:i w:val="0"/>
      <w:color w:val="000000"/>
      <w:sz w:val="22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2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i w:val="0"/>
      <w:color w:val="000000"/>
      <w:sz w:val="25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64" w:lineRule="auto"/>
      <w:contextualSpacing/>
    </w:pPr>
    <w:rPr>
      <w:rFonts w:asciiTheme="majorHAnsi" w:eastAsiaTheme="majorEastAsia" w:hAnsiTheme="majorHAnsi" w:cstheme="majorBidi" w:ascii="Arial" w:hAnsi="Arial"/>
      <w:b/>
      <w:i w:val="0"/>
      <w:color w:val="000000"/>
      <w:kern w:val="28"/>
      <w:sz w:val="50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4" w:lineRule="auto" w:after="320"/>
    </w:pPr>
    <w:rPr>
      <w:rFonts w:asciiTheme="majorHAnsi" w:eastAsiaTheme="majorEastAsia" w:hAnsiTheme="majorHAnsi" w:cstheme="majorBidi" w:ascii="Arial" w:hAnsi="Arial"/>
      <w:i w:val="0"/>
      <w:iCs/>
      <w:color w:val="000000"/>
      <w:sz w:val="22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64" w:lineRule="auto" w:after="140"/>
      <w:contextualSpacing/>
    </w:pPr>
    <w:rPr>
      <w:rFonts w:ascii="Arial" w:hAnsi="Arial"/>
      <w:i w:val="0"/>
      <w:color w:val="000000"/>
      <w:sz w:val="22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mailto:hello@handledcalls.com" TargetMode="External"/><Relationship Id="rId12" Type="http://schemas.openxmlformats.org/officeDocument/2006/relationships/hyperlink" Target="https://handledcalls.com/partner-program-terms/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Referrals and earnings</dc:title>
  <dc:subject>For you</dc:subject>
  <dc:creator>Handled Calls LLC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